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rPr>
          <w:b/>
          <w:sz w:val="28"/>
          <w:szCs w:val="28"/>
          <w:highlight w:val="yellow"/>
        </w:rPr>
      </w:pPr>
      <w:bookmarkStart w:id="0" w:name="_GoBack"/>
      <w:bookmarkEnd w:id="0"/>
      <w:r>
        <w:rPr>
          <w:rFonts w:hint="eastAsia"/>
          <w:b/>
          <w:sz w:val="28"/>
          <w:szCs w:val="28"/>
        </w:rPr>
        <w:t>附件：讲座受邀嘉宾与讲座主题简介（按报告顺序）</w:t>
      </w:r>
    </w:p>
    <w:p>
      <w:pPr>
        <w:tabs>
          <w:tab w:val="left" w:pos="312"/>
        </w:tabs>
        <w:rPr>
          <w:b/>
          <w:bCs/>
          <w:sz w:val="28"/>
          <w:szCs w:val="28"/>
        </w:rPr>
      </w:pPr>
      <w:r>
        <w:rPr>
          <w:rFonts w:hint="eastAsia"/>
          <w:b/>
          <w:bCs/>
          <w:sz w:val="28"/>
          <w:szCs w:val="28"/>
        </w:rPr>
        <w:t>黄劲松</w:t>
      </w:r>
    </w:p>
    <w:p>
      <w:pPr>
        <w:spacing w:line="360" w:lineRule="auto"/>
        <w:rPr>
          <w:rFonts w:ascii="Times New Roman" w:hAnsi="Times New Roman"/>
          <w:sz w:val="24"/>
        </w:rPr>
      </w:pPr>
      <w:r>
        <w:drawing>
          <wp:anchor distT="0" distB="0" distL="114300" distR="114300" simplePos="0" relativeHeight="251657216" behindDoc="0" locked="0" layoutInCell="1" allowOverlap="1">
            <wp:simplePos x="0" y="0"/>
            <wp:positionH relativeFrom="column">
              <wp:posOffset>0</wp:posOffset>
            </wp:positionH>
            <wp:positionV relativeFrom="paragraph">
              <wp:posOffset>12065</wp:posOffset>
            </wp:positionV>
            <wp:extent cx="1332230" cy="1713865"/>
            <wp:effectExtent l="0" t="0" r="1270" b="635"/>
            <wp:wrapSquare wrapText="bothSides"/>
            <wp:docPr id="2" name="图片 2" descr="hjs签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js签证.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2230" cy="1713865"/>
                    </a:xfrm>
                    <a:prstGeom prst="rect">
                      <a:avLst/>
                    </a:prstGeom>
                    <a:noFill/>
                    <a:ln>
                      <a:noFill/>
                    </a:ln>
                    <a:effectLst/>
                  </pic:spPr>
                </pic:pic>
              </a:graphicData>
            </a:graphic>
          </wp:anchor>
        </w:drawing>
      </w:r>
      <w:r>
        <w:rPr>
          <w:rFonts w:hint="eastAsia"/>
          <w:b/>
          <w:bCs/>
          <w:sz w:val="24"/>
        </w:rPr>
        <w:t>黄劲松</w:t>
      </w:r>
      <w:r>
        <w:rPr>
          <w:rFonts w:hint="eastAsia" w:ascii="Times New Roman" w:hAnsi="Times New Roman"/>
          <w:sz w:val="24"/>
        </w:rPr>
        <w:t>，</w:t>
      </w:r>
      <w:r>
        <w:rPr>
          <w:rFonts w:hint="eastAsia"/>
          <w:sz w:val="24"/>
        </w:rPr>
        <w:t>男，清华大学MBA和管理学博士，新加坡国立大学和澳大利亚新南威尔士大学访问学者。目前任北京航空航天大学教授、北航数字化营销研究中心主任、北航经管学院市场与数字化营销系主任，同时担任《营销科学学报》编委、全国工商管理教指委京津冀创业大赛评委。黄劲松教授发表国内外论文60余篇，其中国外期刊论文10余篇；主持国家自然科学基金4项，参与3项（含主持重点项目子课题）；出版论著4部。他的学术成果主要发表在Journal of the Association for Information Systems（forthcoming）, Journal of Interactive Marketing, Journal of Strategic Information Systems, Information &amp; Management, 《管理世界》、《管理科学学报》、《心理学报》等</w:t>
      </w:r>
      <w:r>
        <w:rPr>
          <w:rFonts w:hint="eastAsia" w:ascii="Times New Roman" w:hAnsi="Times New Roman"/>
          <w:sz w:val="24"/>
        </w:rPr>
        <w:t>市场营销领域</w:t>
      </w:r>
      <w:r>
        <w:rPr>
          <w:rFonts w:hint="eastAsia"/>
          <w:sz w:val="24"/>
        </w:rPr>
        <w:t>的权威刊物上。</w:t>
      </w:r>
    </w:p>
    <w:p>
      <w:pPr>
        <w:pStyle w:val="4"/>
        <w:widowControl/>
        <w:spacing w:line="360" w:lineRule="auto"/>
        <w:rPr>
          <w:b/>
        </w:rPr>
      </w:pPr>
    </w:p>
    <w:p>
      <w:pPr>
        <w:adjustRightInd w:val="0"/>
        <w:snapToGrid w:val="0"/>
        <w:spacing w:line="360" w:lineRule="auto"/>
        <w:rPr>
          <w:color w:val="000000"/>
          <w:sz w:val="24"/>
        </w:rPr>
      </w:pPr>
      <w:r>
        <w:rPr>
          <w:rFonts w:hint="eastAsia"/>
          <w:b/>
          <w:sz w:val="24"/>
        </w:rPr>
        <w:t>讲座主题</w:t>
      </w:r>
      <w:r>
        <w:rPr>
          <w:rFonts w:hint="eastAsia"/>
          <w:bCs/>
          <w:sz w:val="24"/>
        </w:rPr>
        <w:t>：</w:t>
      </w:r>
      <w:r>
        <w:rPr>
          <w:rFonts w:hint="eastAsia"/>
          <w:color w:val="000000"/>
          <w:sz w:val="24"/>
        </w:rPr>
        <w:t>It Is Better To Give Than To Sell: The Effect of Possessions as Gifts</w:t>
      </w:r>
    </w:p>
    <w:p>
      <w:pPr>
        <w:adjustRightInd w:val="0"/>
        <w:snapToGrid w:val="0"/>
        <w:spacing w:line="360" w:lineRule="auto"/>
        <w:rPr>
          <w:rFonts w:ascii="宋体" w:hAnsi="宋体" w:cs="宋体"/>
          <w:sz w:val="24"/>
        </w:rPr>
      </w:pPr>
      <w:r>
        <w:rPr>
          <w:rFonts w:hint="eastAsia" w:ascii="宋体" w:hAnsi="宋体" w:cs="宋体"/>
          <w:sz w:val="24"/>
        </w:rPr>
        <w:t>（旧产品捐赠比出售好：旧产品作为礼物的效应）</w:t>
      </w:r>
    </w:p>
    <w:p>
      <w:pPr>
        <w:adjustRightInd w:val="0"/>
        <w:snapToGrid w:val="0"/>
        <w:spacing w:line="360" w:lineRule="auto"/>
        <w:rPr>
          <w:color w:val="000000"/>
          <w:sz w:val="24"/>
        </w:rPr>
      </w:pPr>
    </w:p>
    <w:p>
      <w:pPr>
        <w:spacing w:line="360" w:lineRule="auto"/>
        <w:rPr>
          <w:b/>
          <w:sz w:val="24"/>
        </w:rPr>
      </w:pPr>
      <w:r>
        <w:rPr>
          <w:rFonts w:hint="eastAsia"/>
          <w:b/>
          <w:sz w:val="24"/>
        </w:rPr>
        <w:t>讲座简介：</w:t>
      </w:r>
    </w:p>
    <w:p>
      <w:pPr>
        <w:adjustRightInd w:val="0"/>
        <w:snapToGrid w:val="0"/>
        <w:spacing w:line="360" w:lineRule="auto"/>
        <w:ind w:firstLine="480" w:firstLineChars="200"/>
        <w:rPr>
          <w:rFonts w:ascii="Times New Roman" w:hAnsi="Times New Roman"/>
          <w:color w:val="000000"/>
          <w:sz w:val="24"/>
        </w:rPr>
      </w:pPr>
      <w:r>
        <w:rPr>
          <w:rFonts w:hint="eastAsia" w:ascii="Times New Roman" w:hAnsi="Times New Roman"/>
          <w:color w:val="000000"/>
          <w:sz w:val="24"/>
        </w:rPr>
        <w:t>在这项研究中，我们发现消费者通常会选择将拥有物赠予朋友或家庭而不是将它们销售给陌生人。我们提出在赠予时，消费者感知的价值会超过以公允价格销售的价值，同时，消费者更愿意赠予旧的而不是新的东西，这一效应在处置产品比较紧急的情况下尤为突出。我们采用了实验室实验和实地实验的方式来测量这一效应，并得到了比较稳定的研究结果。在本次讲座中，还将讨论消费者拥有物处置的其他问题。</w:t>
      </w:r>
    </w:p>
    <w:p>
      <w:pPr>
        <w:adjustRightInd w:val="0"/>
        <w:snapToGrid w:val="0"/>
        <w:spacing w:line="360" w:lineRule="auto"/>
        <w:ind w:firstLine="480" w:firstLineChars="200"/>
        <w:rPr>
          <w:rFonts w:ascii="Times New Roman" w:hAnsi="Times New Roman"/>
          <w:color w:val="000000"/>
          <w:sz w:val="24"/>
        </w:rPr>
      </w:pPr>
    </w:p>
    <w:p>
      <w:pPr>
        <w:tabs>
          <w:tab w:val="left" w:pos="312"/>
        </w:tabs>
        <w:jc w:val="left"/>
        <w:rPr>
          <w:b/>
          <w:bCs/>
          <w:sz w:val="28"/>
          <w:szCs w:val="28"/>
        </w:rPr>
      </w:pPr>
    </w:p>
    <w:p>
      <w:pPr>
        <w:tabs>
          <w:tab w:val="left" w:pos="312"/>
        </w:tabs>
        <w:jc w:val="left"/>
        <w:rPr>
          <w:b/>
          <w:bCs/>
          <w:sz w:val="28"/>
          <w:szCs w:val="28"/>
        </w:rPr>
      </w:pPr>
    </w:p>
    <w:p>
      <w:pPr>
        <w:tabs>
          <w:tab w:val="left" w:pos="312"/>
        </w:tabs>
        <w:jc w:val="left"/>
        <w:rPr>
          <w:b/>
          <w:bCs/>
          <w:sz w:val="28"/>
          <w:szCs w:val="28"/>
        </w:rPr>
      </w:pPr>
    </w:p>
    <w:p>
      <w:pPr>
        <w:tabs>
          <w:tab w:val="left" w:pos="312"/>
        </w:tabs>
        <w:jc w:val="left"/>
        <w:rPr>
          <w:b/>
          <w:bCs/>
          <w:sz w:val="28"/>
          <w:szCs w:val="28"/>
        </w:rPr>
      </w:pPr>
      <w:r>
        <w:rPr>
          <w:rFonts w:hint="eastAsia"/>
          <w:b/>
          <w:bCs/>
          <w:sz w:val="28"/>
          <w:szCs w:val="28"/>
        </w:rPr>
        <w:t>张昊</w:t>
      </w:r>
    </w:p>
    <w:p>
      <w:pPr>
        <w:snapToGrid w:val="0"/>
        <w:spacing w:before="120" w:line="360" w:lineRule="auto"/>
        <w:rPr>
          <w:b/>
          <w:bCs/>
          <w:sz w:val="24"/>
        </w:rPr>
      </w:pPr>
      <w:r>
        <w:rPr>
          <w:b/>
          <w:bCs/>
          <w:sz w:val="24"/>
        </w:rPr>
        <w:drawing>
          <wp:anchor distT="0" distB="0" distL="114300" distR="114300" simplePos="0" relativeHeight="251658240" behindDoc="0" locked="0" layoutInCell="1" allowOverlap="1">
            <wp:simplePos x="0" y="0"/>
            <wp:positionH relativeFrom="column">
              <wp:posOffset>-19050</wp:posOffset>
            </wp:positionH>
            <wp:positionV relativeFrom="paragraph">
              <wp:posOffset>41275</wp:posOffset>
            </wp:positionV>
            <wp:extent cx="1367155" cy="2057400"/>
            <wp:effectExtent l="0" t="0" r="4445"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67155" cy="2057400"/>
                    </a:xfrm>
                    <a:prstGeom prst="rect">
                      <a:avLst/>
                    </a:prstGeom>
                    <a:noFill/>
                    <a:ln>
                      <a:noFill/>
                    </a:ln>
                  </pic:spPr>
                </pic:pic>
              </a:graphicData>
            </a:graphic>
          </wp:anchor>
        </w:drawing>
      </w:r>
      <w:r>
        <w:rPr>
          <w:rFonts w:hint="eastAsia"/>
          <w:b/>
          <w:bCs/>
          <w:sz w:val="24"/>
        </w:rPr>
        <w:t>张昊</w:t>
      </w:r>
      <w:r>
        <w:rPr>
          <w:rFonts w:hint="eastAsia"/>
          <w:sz w:val="24"/>
        </w:rPr>
        <w:t>，男，</w:t>
      </w:r>
      <w:r>
        <w:rPr>
          <w:sz w:val="24"/>
        </w:rPr>
        <w:t>韩国延世大学博士，东北大学副教授、博士生导师，市场营销系主任，</w:t>
      </w:r>
      <w:r>
        <w:rPr>
          <w:rFonts w:hint="eastAsia"/>
          <w:sz w:val="24"/>
        </w:rPr>
        <w:t>同时担任</w:t>
      </w:r>
      <w:r>
        <w:rPr>
          <w:sz w:val="24"/>
        </w:rPr>
        <w:t>中国高校市场学研究会（CMAU）理事</w:t>
      </w:r>
      <w:r>
        <w:rPr>
          <w:rFonts w:hint="eastAsia"/>
          <w:sz w:val="24"/>
        </w:rPr>
        <w:t>、</w:t>
      </w:r>
      <w:r>
        <w:rPr>
          <w:sz w:val="24"/>
        </w:rPr>
        <w:t>《营销科学学报》</w:t>
      </w:r>
      <w:r>
        <w:rPr>
          <w:rFonts w:hint="eastAsia"/>
          <w:sz w:val="24"/>
        </w:rPr>
        <w:t>编委</w:t>
      </w:r>
      <w:r>
        <w:rPr>
          <w:sz w:val="24"/>
        </w:rPr>
        <w:t>、Journal of Global Fashion Marketing（ESCI）编委。</w:t>
      </w:r>
      <w:r>
        <w:rPr>
          <w:rFonts w:hint="eastAsia"/>
          <w:sz w:val="24"/>
        </w:rPr>
        <w:t>张昊副教授</w:t>
      </w:r>
      <w:r>
        <w:rPr>
          <w:sz w:val="24"/>
        </w:rPr>
        <w:t>主持国家自然科学基金青年项目、面上项目，以及其他省部级项目6项。担任2018年GMC全球营销会议（东京）分论坛主席。</w:t>
      </w:r>
      <w:r>
        <w:rPr>
          <w:rFonts w:hint="eastAsia"/>
          <w:sz w:val="24"/>
        </w:rPr>
        <w:t>他的</w:t>
      </w:r>
      <w:r>
        <w:rPr>
          <w:sz w:val="24"/>
        </w:rPr>
        <w:t>学术研究成果</w:t>
      </w:r>
      <w:r>
        <w:rPr>
          <w:rFonts w:hint="eastAsia"/>
          <w:sz w:val="24"/>
        </w:rPr>
        <w:t>主要</w:t>
      </w:r>
      <w:r>
        <w:rPr>
          <w:sz w:val="24"/>
        </w:rPr>
        <w:t>发表在Journal of Product Innovation Management、Journal of Business Research、International Journal of Advertising等SSCI检索国际期刊中。主要研究领域包括新产品开发管理、顾客价值共创、消费者行为等领域。</w:t>
      </w:r>
    </w:p>
    <w:p>
      <w:pPr>
        <w:snapToGrid w:val="0"/>
        <w:spacing w:before="120" w:line="360" w:lineRule="auto"/>
        <w:rPr>
          <w:sz w:val="24"/>
        </w:rPr>
      </w:pPr>
    </w:p>
    <w:p>
      <w:pPr>
        <w:spacing w:line="360" w:lineRule="auto"/>
        <w:rPr>
          <w:sz w:val="24"/>
        </w:rPr>
      </w:pPr>
      <w:r>
        <w:rPr>
          <w:rFonts w:hint="eastAsia"/>
          <w:b/>
          <w:sz w:val="24"/>
        </w:rPr>
        <w:t>讲座主题：</w:t>
      </w:r>
      <w:r>
        <w:rPr>
          <w:rFonts w:hint="eastAsia"/>
          <w:sz w:val="24"/>
        </w:rPr>
        <w:t>“Is my own design better?”——The effects of online customer value co-creation on product design in luxury industry</w:t>
      </w:r>
    </w:p>
    <w:p>
      <w:pPr>
        <w:spacing w:line="360" w:lineRule="auto"/>
        <w:rPr>
          <w:sz w:val="24"/>
        </w:rPr>
      </w:pPr>
    </w:p>
    <w:p>
      <w:pPr>
        <w:adjustRightInd w:val="0"/>
        <w:snapToGrid w:val="0"/>
        <w:spacing w:line="360" w:lineRule="auto"/>
        <w:rPr>
          <w:b/>
          <w:sz w:val="24"/>
        </w:rPr>
      </w:pPr>
      <w:r>
        <w:rPr>
          <w:rFonts w:hint="eastAsia"/>
          <w:b/>
          <w:sz w:val="24"/>
        </w:rPr>
        <w:t>讲座简介：</w:t>
      </w:r>
    </w:p>
    <w:p>
      <w:pPr>
        <w:adjustRightInd w:val="0"/>
        <w:snapToGrid w:val="0"/>
        <w:spacing w:line="360" w:lineRule="auto"/>
        <w:ind w:firstLine="480" w:firstLineChars="200"/>
        <w:rPr>
          <w:sz w:val="24"/>
        </w:rPr>
      </w:pPr>
      <w:r>
        <w:rPr>
          <w:rFonts w:hint="eastAsia"/>
          <w:sz w:val="24"/>
        </w:rPr>
        <w:t>本研究在探讨价值共创对奢侈品设计象征性的影响中，着重比较了奢侈品共创和普通产品共创结果的差别并探究其作用机制，同时分析了顾客知识和社区反馈在此过程中的调节作用。研究同时采用调查法和实验法进行相关数据收集，综合使用多种统计分析软件对调查数据进行检验与分析，得出了如下结论：在普通产品的价值共创中，知识创新性对产品设计象征性起正向促进作用，行为紧密性对产品设计象征性起负向抑制作用；顾客参与奢侈品产品价值共创与普通产品影响相反；顾客心理距离在奢侈品共创中起到中介作用；顾客知识和用户社区反馈均调节奢侈品价值共创对产品设计象征性的影响。</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899"/>
    <w:rsid w:val="000C5FCD"/>
    <w:rsid w:val="002F0899"/>
    <w:rsid w:val="00AB1B87"/>
    <w:rsid w:val="00D806ED"/>
    <w:rsid w:val="00DC6FBF"/>
    <w:rsid w:val="00ED6ECA"/>
    <w:rsid w:val="18932FAF"/>
    <w:rsid w:val="445E3640"/>
    <w:rsid w:val="5A1F4B64"/>
    <w:rsid w:val="72CF3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jc w:val="left"/>
    </w:pPr>
    <w:rPr>
      <w:kern w:val="0"/>
      <w:sz w:val="24"/>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218</Words>
  <Characters>1249</Characters>
  <Lines>10</Lines>
  <Paragraphs>2</Paragraphs>
  <TotalTime>17</TotalTime>
  <ScaleCrop>false</ScaleCrop>
  <LinksUpToDate>false</LinksUpToDate>
  <CharactersWithSpaces>1465</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2018-12-04T03:44:00Z</dcterms:created>
  <dc:creator>Windows 用户</dc:creator>
  <cp:lastModifiedBy>Nancy</cp:lastModifiedBy>
  <dcterms:modified xsi:type="dcterms:W3CDTF">2018-12-24T01:03:10Z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